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168" w:lineRule="auto"/>
        <w:jc w:val="center"/>
        <w:rPr>
          <w:color w:val="003a8d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168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color w:val="003a8d"/>
          <w:sz w:val="48"/>
          <w:szCs w:val="48"/>
          <w:rtl w:val="0"/>
        </w:rPr>
        <w:t xml:space="preserve">Business intelligence and analytics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left"/>
        <w:rPr>
          <w:b w:val="1"/>
          <w:bCs w:val="1"/>
          <w:color w:val="0228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  <w:color w:val="0228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51"/>
        <w:jc w:val="left"/>
        <w:rPr>
          <w:color w:val="02287a"/>
          <w:sz w:val="24"/>
          <w:szCs w:val="24"/>
        </w:rPr>
      </w:pPr>
      <w:r w:rsidDel="00000000" w:rsidR="00000000" w:rsidRPr="00000000">
        <w:rPr>
          <w:b w:val="1"/>
          <w:bCs w:val="1"/>
          <w:color w:val="02287a"/>
          <w:sz w:val="24"/>
          <w:szCs w:val="24"/>
          <w:rtl w:val="0"/>
        </w:rPr>
        <w:t xml:space="preserve">Time </w:t>
      </w:r>
      <w:r w:rsidDel="00000000" w:rsidR="00000000" w:rsidRPr="00000000">
        <w:rPr>
          <w:color w:val="02287a"/>
          <w:sz w:val="24"/>
          <w:szCs w:val="24"/>
          <w:rtl w:val="0"/>
        </w:rPr>
        <w:t xml:space="preserve">: TBD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51"/>
        <w:jc w:val="left"/>
        <w:rPr>
          <w:b w:val="1"/>
          <w:bCs w:val="1"/>
          <w:color w:val="0228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02287a"/>
          <w:sz w:val="24"/>
          <w:szCs w:val="24"/>
          <w:rtl w:val="0"/>
        </w:rPr>
        <w:t xml:space="preserve">Format:</w:t>
      </w:r>
      <w:r w:rsidDel="00000000" w:rsidR="00000000" w:rsidRPr="00000000">
        <w:rPr>
          <w:b w:val="1"/>
          <w:bCs w:val="1"/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Live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  <w:color w:val="0228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left"/>
        <w:rPr/>
      </w:pPr>
      <w:r w:rsidDel="00000000" w:rsidR="00000000" w:rsidRPr="00000000">
        <w:rPr>
          <w:b w:val="1"/>
          <w:bCs w:val="1"/>
          <w:color w:val="02287a"/>
          <w:sz w:val="24"/>
          <w:szCs w:val="24"/>
          <w:rtl w:val="0"/>
        </w:rPr>
        <w:t xml:space="preserve">Place: </w:t>
      </w:r>
      <w:r w:rsidDel="00000000" w:rsidR="00000000" w:rsidRPr="00000000">
        <w:rPr>
          <w:color w:val="02287a"/>
          <w:sz w:val="24"/>
          <w:szCs w:val="24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02287a"/>
          <w:sz w:val="32"/>
          <w:szCs w:val="32"/>
        </w:rPr>
      </w:pPr>
      <w:r w:rsidDel="00000000" w:rsidR="00000000" w:rsidRPr="00000000">
        <w:rPr>
          <w:b w:val="1"/>
          <w:bCs w:val="1"/>
          <w:color w:val="02287a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8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423"/>
        <w:gridCol w:w="6515"/>
        <w:tblGridChange w:id="0">
          <w:tblGrid>
            <w:gridCol w:w="1423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2287a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Day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min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1.1: Introduction to business intelligence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What is business intelligence and how does it support business decision-making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Differences between Business Intelligence Systems and traditional reporting systems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Maturity levels of business intelligence in organizations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Case studies tailored to the participants' businesses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1.2: Architecture and platforms of business intelligence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Basic elements of business intelligence architecture (data sources, ETL, data warehouse, reporting)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Overview of popular business intelligence platforms and tools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How to choose the right business intelligence platform for the SME sector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18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1.3: Principles of data visualization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Choosing the right chart for different types of data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Best practices: clarity, simplicity and storytelling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How to avoid misleading and wrong visualizations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exercise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before="12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Data source mapping for an example of a company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before="12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Designing a simple star schema structure (on paper)</w:t>
            </w:r>
          </w:p>
          <w:p w:rsidR="00000000" w:rsidDel="00000000" w:rsidP="00000000" w:rsidRDefault="00000000" w:rsidRPr="00000000" w14:paraId="00000027">
            <w:pPr>
              <w:ind w:left="3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Conclusion of the day and questions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938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423"/>
        <w:gridCol w:w="6515"/>
        <w:tblGridChange w:id="0">
          <w:tblGrid>
            <w:gridCol w:w="1423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Time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2287a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Day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min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2.1: Analytical levels in business intelligence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Descriptive analysis: what happened?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Diagnostic analysis: why did it happen?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Predictive analysis: what will happen?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Prescriptive analysis: what should be done?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min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2.2: Data Mining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Associative analysis (e.g. market basket analysis)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Clustering (customer segmentation, product grouping)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Basics of classification (review of decision trees and logistic regression)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 min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18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exercise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Creating an interactive dashboard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Applying basic data mining techniques to the dataset: customer segmentation or identification of products that are often bought together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 and discussion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938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423"/>
        <w:gridCol w:w="6515"/>
        <w:tblGridChange w:id="0">
          <w:tblGrid>
            <w:gridCol w:w="1423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Time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2287a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Day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min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3.1: Basics of predictive analytics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Forecasting using moving averages and regression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Introduction to time series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Forecast sales, churn and demand based on historical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min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3.2: Real-time business intelligence and advanced analytics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Dashboards with real-time data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Early warning signals and anomaly detection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Examples of application in operational and strategic decision-making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min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12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3.3: BI strategy and data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Development of a BI roadmap for small and medium-sized enterprises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Defining KPIs aligned with the organizational strategy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before="120" w:lineRule="auto"/>
              <w:ind w:left="720" w:hanging="360"/>
              <w:jc w:val="left"/>
            </w:pPr>
            <w:r w:rsidDel="00000000" w:rsidR="00000000" w:rsidRPr="00000000">
              <w:rPr>
                <w:rtl w:val="0"/>
              </w:rPr>
              <w:t xml:space="preserve">Data management, ethics and regulatory compliance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Working with a BI strategy roadmap template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discussion and conclusions of the training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color w:val="02287a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8" w:top="1699" w:left="1008" w:right="1008" w:header="360" w:footer="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-100962</wp:posOffset>
              </wp:positionH>
              <wp:positionV relativeFrom="paragraph">
                <wp:posOffset>452121</wp:posOffset>
              </wp:positionV>
              <wp:extent cx="6485890" cy="25590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112580" y="3661573"/>
                        <a:ext cx="646684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00" w:before="10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Sufinansirano sredstvima Evropske unije iz programa Digitalna Evropa i sredstvima Ministarstva prosvjete, nauke i inovacija i Ministarstva javne uprave Crne Gore.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9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-100962</wp:posOffset>
              </wp:positionH>
              <wp:positionV relativeFrom="paragraph">
                <wp:posOffset>452121</wp:posOffset>
              </wp:positionV>
              <wp:extent cx="6485890" cy="255905"/>
              <wp:effectExtent b="0" l="0" r="0" t="0"/>
              <wp:wrapSquare wrapText="bothSides" distB="45720" distT="45720" distL="114300" distR="11430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5890" cy="255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4174491</wp:posOffset>
              </wp:positionH>
              <wp:positionV relativeFrom="paragraph">
                <wp:posOffset>107869</wp:posOffset>
              </wp:positionV>
              <wp:extent cx="846455" cy="38290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32298" y="3598073"/>
                        <a:ext cx="82740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Ministarstvo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prosvjete,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nauke i inovacija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4174491</wp:posOffset>
              </wp:positionH>
              <wp:positionV relativeFrom="paragraph">
                <wp:posOffset>107869</wp:posOffset>
              </wp:positionV>
              <wp:extent cx="846455" cy="38290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6455" cy="382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4104640</wp:posOffset>
              </wp:positionH>
              <wp:positionV relativeFrom="paragraph">
                <wp:posOffset>100248</wp:posOffset>
              </wp:positionV>
              <wp:extent cx="19050" cy="36385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8073"/>
                        <a:ext cx="0" cy="363855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D5B03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4104640</wp:posOffset>
              </wp:positionH>
              <wp:positionV relativeFrom="paragraph">
                <wp:posOffset>100248</wp:posOffset>
              </wp:positionV>
              <wp:extent cx="19050" cy="363855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63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5534660</wp:posOffset>
              </wp:positionH>
              <wp:positionV relativeFrom="paragraph">
                <wp:posOffset>95169</wp:posOffset>
              </wp:positionV>
              <wp:extent cx="19050" cy="36385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8073"/>
                        <a:ext cx="0" cy="363855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D5B03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5534660</wp:posOffset>
              </wp:positionH>
              <wp:positionV relativeFrom="paragraph">
                <wp:posOffset>95169</wp:posOffset>
              </wp:positionV>
              <wp:extent cx="19050" cy="363855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63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5600700</wp:posOffset>
              </wp:positionH>
              <wp:positionV relativeFrom="paragraph">
                <wp:posOffset>147450</wp:posOffset>
              </wp:positionV>
              <wp:extent cx="669290" cy="250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20880" y="3664113"/>
                        <a:ext cx="650240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Ministarstvo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javne uprave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5600700</wp:posOffset>
              </wp:positionH>
              <wp:positionV relativeFrom="paragraph">
                <wp:posOffset>147450</wp:posOffset>
              </wp:positionV>
              <wp:extent cx="669290" cy="250825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3709035</wp:posOffset>
          </wp:positionH>
          <wp:positionV relativeFrom="paragraph">
            <wp:posOffset>79294</wp:posOffset>
          </wp:positionV>
          <wp:extent cx="349885" cy="403860"/>
          <wp:effectExtent b="0" l="0" r="0" t="0"/>
          <wp:wrapNone/>
          <wp:docPr id="1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885" cy="403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5130800</wp:posOffset>
          </wp:positionH>
          <wp:positionV relativeFrom="paragraph">
            <wp:posOffset>71039</wp:posOffset>
          </wp:positionV>
          <wp:extent cx="349885" cy="403860"/>
          <wp:effectExtent b="0" l="0" r="0" t="0"/>
          <wp:wrapNone/>
          <wp:docPr id="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885" cy="403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1964689</wp:posOffset>
          </wp:positionH>
          <wp:positionV relativeFrom="paragraph">
            <wp:posOffset>97073</wp:posOffset>
          </wp:positionV>
          <wp:extent cx="1645920" cy="3657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365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17782</wp:posOffset>
          </wp:positionH>
          <wp:positionV relativeFrom="paragraph">
            <wp:posOffset>126918</wp:posOffset>
          </wp:positionV>
          <wp:extent cx="1800860" cy="301625"/>
          <wp:effectExtent b="0" l="0" r="0" t="0"/>
          <wp:wrapNone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860" cy="301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-91438</wp:posOffset>
          </wp:positionH>
          <wp:positionV relativeFrom="paragraph">
            <wp:posOffset>-7618</wp:posOffset>
          </wp:positionV>
          <wp:extent cx="2203704" cy="621792"/>
          <wp:effectExtent b="0" l="0" r="0" t="0"/>
          <wp:wrapNone/>
          <wp:docPr descr="A close up of a logo&#10;&#10;AI-generated content may be incorrect." id="8" name="image2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3704" cy="6217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right" w:leader="none" w:pos="1134"/>
      </w:tabs>
      <w:spacing w:after="120" w:before="120" w:lineRule="auto"/>
      <w:ind w:left="720" w:hanging="360"/>
      <w:jc w:val="left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  <w:ind w:left="697" w:hanging="697"/>
    </w:pPr>
    <w:rPr>
      <w:rFonts w:ascii="Times New Roman" w:cs="Times New Roman" w:eastAsia="Times New Roman" w:hAnsi="Times New Roman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jpg"/><Relationship Id="rId3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5d9O/jhumlD3CXT+Mr1VfKIkQ==">CgMxLjA4AHIhMWNBTm5TOXRxTFFHUGZQb3NTT1hoRXY1Z2t4LVYydzBH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1b903e634482fa622877556844217d9a647984323fab907a40c3bb5c5e70da92</vt:lpwstr>
  </property>
</Properties>
</file>